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C0A2" w14:textId="77777777" w:rsidR="00C3267A" w:rsidRPr="00A72EFB" w:rsidRDefault="00C3267A" w:rsidP="00C3267A">
      <w:pPr>
        <w:outlineLvl w:val="0"/>
        <w:rPr>
          <w:b/>
          <w:sz w:val="56"/>
          <w:szCs w:val="56"/>
        </w:rPr>
      </w:pPr>
      <w:r>
        <w:rPr>
          <w:noProof/>
        </w:rPr>
        <w:drawing>
          <wp:anchor distT="0" distB="0" distL="114300" distR="114300" simplePos="0" relativeHeight="251659264" behindDoc="0" locked="0" layoutInCell="0" allowOverlap="0" wp14:anchorId="39D52361" wp14:editId="40BB0ACB">
            <wp:simplePos x="0" y="0"/>
            <wp:positionH relativeFrom="column">
              <wp:align>left</wp:align>
            </wp:positionH>
            <wp:positionV relativeFrom="paragraph">
              <wp:posOffset>0</wp:posOffset>
            </wp:positionV>
            <wp:extent cx="942975" cy="1028700"/>
            <wp:effectExtent l="0" t="0" r="0" b="12700"/>
            <wp:wrapSquare wrapText="bothSides"/>
            <wp:docPr id="1" name="Picture 1" descr="man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ent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DA0">
        <w:rPr>
          <w:b/>
          <w:sz w:val="56"/>
          <w:szCs w:val="56"/>
        </w:rPr>
        <w:t xml:space="preserve"> </w:t>
      </w:r>
      <w:r w:rsidRPr="00A72EFB">
        <w:rPr>
          <w:b/>
          <w:sz w:val="56"/>
          <w:szCs w:val="56"/>
        </w:rPr>
        <w:t xml:space="preserve">MANCENT  </w:t>
      </w:r>
    </w:p>
    <w:p w14:paraId="33AED407" w14:textId="77777777" w:rsidR="00C3267A" w:rsidRPr="006D2DA0" w:rsidRDefault="00C3267A" w:rsidP="00C3267A">
      <w:pPr>
        <w:pBdr>
          <w:bottom w:val="single" w:sz="12" w:space="1" w:color="auto"/>
        </w:pBdr>
        <w:jc w:val="right"/>
        <w:outlineLvl w:val="0"/>
        <w:rPr>
          <w:b/>
          <w:sz w:val="32"/>
          <w:szCs w:val="32"/>
        </w:rPr>
      </w:pPr>
      <w:r w:rsidRPr="006D2DA0">
        <w:rPr>
          <w:b/>
          <w:sz w:val="32"/>
          <w:szCs w:val="32"/>
        </w:rPr>
        <w:t>The Manchester Continuing Education Network</w:t>
      </w:r>
    </w:p>
    <w:p w14:paraId="5508EDD4" w14:textId="77777777" w:rsidR="00C3267A" w:rsidRPr="006D2DA0" w:rsidRDefault="00C3267A" w:rsidP="00C3267A">
      <w:pPr>
        <w:outlineLvl w:val="0"/>
        <w:rPr>
          <w:lang w:val="de-DE"/>
        </w:rPr>
      </w:pPr>
      <w:r>
        <w:rPr>
          <w:lang w:val="de-DE"/>
        </w:rPr>
        <w:t xml:space="preserve">Course </w:t>
      </w:r>
      <w:proofErr w:type="spellStart"/>
      <w:r>
        <w:rPr>
          <w:lang w:val="de-DE"/>
        </w:rPr>
        <w:t>Director</w:t>
      </w:r>
      <w:proofErr w:type="spellEnd"/>
      <w:r>
        <w:rPr>
          <w:lang w:val="de-DE"/>
        </w:rPr>
        <w:t xml:space="preserve">: </w:t>
      </w:r>
      <w:r w:rsidRPr="006D2DA0">
        <w:rPr>
          <w:lang w:val="de-DE"/>
        </w:rPr>
        <w:t xml:space="preserve"> Dr. Birgitta Hoffmann, MA, FSA</w:t>
      </w:r>
    </w:p>
    <w:p w14:paraId="5298BD53" w14:textId="77777777" w:rsidR="00C3267A" w:rsidRDefault="00C3267A" w:rsidP="00C3267A">
      <w:pPr>
        <w:rPr>
          <w:lang w:val="de-DE"/>
        </w:rPr>
      </w:pPr>
    </w:p>
    <w:p w14:paraId="48A3F4CA" w14:textId="77777777" w:rsidR="00D46058" w:rsidRDefault="004675D6"/>
    <w:p w14:paraId="54F2C8D7" w14:textId="77777777" w:rsidR="00C3267A" w:rsidRPr="009C023E" w:rsidRDefault="00C3267A" w:rsidP="009C023E">
      <w:pPr>
        <w:jc w:val="center"/>
        <w:rPr>
          <w:b/>
          <w:sz w:val="32"/>
          <w:szCs w:val="32"/>
          <w:u w:val="single"/>
        </w:rPr>
      </w:pPr>
      <w:r w:rsidRPr="009C023E">
        <w:rPr>
          <w:b/>
          <w:sz w:val="32"/>
          <w:szCs w:val="32"/>
          <w:u w:val="single"/>
        </w:rPr>
        <w:t xml:space="preserve">Late Additions to the Spring 2018 </w:t>
      </w:r>
      <w:proofErr w:type="spellStart"/>
      <w:r w:rsidRPr="009C023E">
        <w:rPr>
          <w:b/>
          <w:sz w:val="32"/>
          <w:szCs w:val="32"/>
          <w:u w:val="single"/>
        </w:rPr>
        <w:t>programme</w:t>
      </w:r>
      <w:proofErr w:type="spellEnd"/>
    </w:p>
    <w:p w14:paraId="010FC9AF" w14:textId="77777777" w:rsidR="00C3267A" w:rsidRDefault="00C3267A">
      <w:pPr>
        <w:rPr>
          <w:rFonts w:eastAsiaTheme="minorHAnsi"/>
        </w:rPr>
      </w:pPr>
    </w:p>
    <w:p w14:paraId="55B8EF6D" w14:textId="77777777" w:rsidR="00320B60" w:rsidRPr="00320B60" w:rsidRDefault="00320B60" w:rsidP="00320B60">
      <w:pPr>
        <w:widowControl w:val="0"/>
        <w:autoSpaceDE w:val="0"/>
        <w:autoSpaceDN w:val="0"/>
        <w:adjustRightInd w:val="0"/>
        <w:ind w:right="-386"/>
        <w:jc w:val="center"/>
        <w:rPr>
          <w:rFonts w:ascii="Arial" w:eastAsiaTheme="minorHAnsi" w:hAnsi="Arial" w:cs="Arial"/>
          <w:b/>
          <w:i/>
          <w:sz w:val="28"/>
          <w:szCs w:val="28"/>
        </w:rPr>
      </w:pPr>
      <w:r w:rsidRPr="00320B60">
        <w:rPr>
          <w:rFonts w:ascii="Arial" w:eastAsiaTheme="minorHAnsi" w:hAnsi="Arial" w:cs="Arial"/>
          <w:b/>
          <w:i/>
          <w:sz w:val="28"/>
          <w:szCs w:val="28"/>
        </w:rPr>
        <w:t>Saints and Sanctity in the Early Middle Ages</w:t>
      </w:r>
    </w:p>
    <w:p w14:paraId="32C612EC" w14:textId="77777777" w:rsidR="00320B60" w:rsidRDefault="00320B60">
      <w:pPr>
        <w:rPr>
          <w:rFonts w:eastAsiaTheme="minorHAnsi"/>
        </w:rPr>
      </w:pPr>
    </w:p>
    <w:p w14:paraId="73D0C35E" w14:textId="77777777" w:rsidR="00320B60" w:rsidRDefault="00320B60" w:rsidP="00320B60">
      <w:pPr>
        <w:widowControl w:val="0"/>
        <w:autoSpaceDE w:val="0"/>
        <w:autoSpaceDN w:val="0"/>
        <w:adjustRightInd w:val="0"/>
        <w:ind w:right="-386"/>
        <w:jc w:val="both"/>
        <w:rPr>
          <w:rFonts w:eastAsiaTheme="minorHAnsi"/>
        </w:rPr>
      </w:pPr>
      <w:r>
        <w:rPr>
          <w:rFonts w:eastAsiaTheme="minorHAnsi"/>
        </w:rPr>
        <w:t xml:space="preserve">Saints and their cults have been an important, integral part of Christianity since its beginnings, and this was especially so in the early middle ages. There are hundreds of surviving accounts of the lives early-medieval saints. Who were these holy men and women, what made them ‘holy,’ and why did people revere them so much, both while they were alive and after they were dead? This course considers these questions by examining the lives of a range of British and European saints, their contexts and the ways in which they have been used and manipulated by subsequent generations. Saints discussed will include St Martin, St Benedict, St Patrick, St Cuthbert and St </w:t>
      </w:r>
      <w:proofErr w:type="spellStart"/>
      <w:r>
        <w:rPr>
          <w:rFonts w:eastAsiaTheme="minorHAnsi"/>
        </w:rPr>
        <w:t>Wifrid</w:t>
      </w:r>
      <w:proofErr w:type="spellEnd"/>
      <w:r>
        <w:rPr>
          <w:rFonts w:eastAsiaTheme="minorHAnsi"/>
        </w:rPr>
        <w:t>.</w:t>
      </w:r>
    </w:p>
    <w:p w14:paraId="2AE3F2F9" w14:textId="77777777" w:rsidR="00320B60" w:rsidRDefault="00320B60">
      <w:pPr>
        <w:rPr>
          <w:rFonts w:eastAsiaTheme="minorHAnsi"/>
        </w:rPr>
      </w:pPr>
    </w:p>
    <w:p w14:paraId="05ECFDD2" w14:textId="77777777" w:rsidR="00320B60" w:rsidRPr="00320B60" w:rsidRDefault="00320B60" w:rsidP="00320B60">
      <w:pPr>
        <w:widowControl w:val="0"/>
        <w:autoSpaceDE w:val="0"/>
        <w:autoSpaceDN w:val="0"/>
        <w:adjustRightInd w:val="0"/>
        <w:ind w:right="-386"/>
        <w:jc w:val="both"/>
        <w:rPr>
          <w:rFonts w:eastAsiaTheme="minorHAnsi"/>
          <w:b/>
        </w:rPr>
      </w:pPr>
      <w:r w:rsidRPr="00320B60">
        <w:rPr>
          <w:rFonts w:eastAsiaTheme="minorHAnsi"/>
          <w:b/>
        </w:rPr>
        <w:t>Recommended reading (for publication in brochure):</w:t>
      </w:r>
      <w:r w:rsidRPr="00320B60">
        <w:rPr>
          <w:rFonts w:eastAsiaTheme="minorHAnsi"/>
          <w:b/>
        </w:rPr>
        <w:tab/>
      </w:r>
    </w:p>
    <w:p w14:paraId="6FD22014" w14:textId="77777777" w:rsidR="00320B60" w:rsidRDefault="00320B60" w:rsidP="00320B60">
      <w:pPr>
        <w:widowControl w:val="0"/>
        <w:autoSpaceDE w:val="0"/>
        <w:autoSpaceDN w:val="0"/>
        <w:adjustRightInd w:val="0"/>
        <w:ind w:right="-386"/>
        <w:jc w:val="both"/>
        <w:rPr>
          <w:rFonts w:eastAsiaTheme="minorHAnsi"/>
        </w:rPr>
      </w:pPr>
    </w:p>
    <w:p w14:paraId="6B258158"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No supplementary reading is necessary for this course, but those wishing to investigate more deeply might look at the following:</w:t>
      </w:r>
    </w:p>
    <w:p w14:paraId="18E00455"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 xml:space="preserve">M. A. </w:t>
      </w:r>
      <w:proofErr w:type="spellStart"/>
      <w:r>
        <w:rPr>
          <w:rFonts w:eastAsiaTheme="minorHAnsi"/>
        </w:rPr>
        <w:t>Stouck</w:t>
      </w:r>
      <w:proofErr w:type="spellEnd"/>
      <w:r>
        <w:rPr>
          <w:rFonts w:eastAsiaTheme="minorHAnsi"/>
        </w:rPr>
        <w:t xml:space="preserve">, </w:t>
      </w:r>
      <w:r>
        <w:rPr>
          <w:rFonts w:eastAsiaTheme="minorHAnsi"/>
          <w:i/>
          <w:iCs/>
        </w:rPr>
        <w:t>A Short Reader of Medieval Saints</w:t>
      </w:r>
      <w:r>
        <w:rPr>
          <w:rFonts w:eastAsiaTheme="minorHAnsi"/>
        </w:rPr>
        <w:t>, University of Toronto Press, 2008.</w:t>
      </w:r>
    </w:p>
    <w:p w14:paraId="6512F1FD"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 xml:space="preserve">P. Brown, </w:t>
      </w:r>
      <w:r>
        <w:rPr>
          <w:rFonts w:eastAsiaTheme="minorHAnsi"/>
          <w:i/>
          <w:iCs/>
        </w:rPr>
        <w:t xml:space="preserve">The Cult of the Saints: Its Rise </w:t>
      </w:r>
      <w:proofErr w:type="gramStart"/>
      <w:r>
        <w:rPr>
          <w:rFonts w:eastAsiaTheme="minorHAnsi"/>
          <w:i/>
          <w:iCs/>
        </w:rPr>
        <w:t>And</w:t>
      </w:r>
      <w:proofErr w:type="gramEnd"/>
      <w:r>
        <w:rPr>
          <w:rFonts w:eastAsiaTheme="minorHAnsi"/>
          <w:i/>
          <w:iCs/>
        </w:rPr>
        <w:t xml:space="preserve"> Function In Latin Christianity</w:t>
      </w:r>
      <w:r>
        <w:rPr>
          <w:rFonts w:eastAsiaTheme="minorHAnsi"/>
        </w:rPr>
        <w:t>, University of Chicago Press; Enlarged Edition, 2014.</w:t>
      </w:r>
    </w:p>
    <w:p w14:paraId="22DA7132" w14:textId="77777777" w:rsidR="00320B60" w:rsidRDefault="00320B60" w:rsidP="00320B60">
      <w:pPr>
        <w:widowControl w:val="0"/>
        <w:autoSpaceDE w:val="0"/>
        <w:autoSpaceDN w:val="0"/>
        <w:adjustRightInd w:val="0"/>
        <w:ind w:right="-386"/>
        <w:rPr>
          <w:rFonts w:eastAsiaTheme="minorHAnsi"/>
          <w:b/>
          <w:bCs/>
        </w:rPr>
      </w:pPr>
      <w:r>
        <w:rPr>
          <w:rFonts w:eastAsiaTheme="minorHAnsi"/>
        </w:rPr>
        <w:t xml:space="preserve">D. H. Farmer, </w:t>
      </w:r>
      <w:r>
        <w:rPr>
          <w:rFonts w:eastAsiaTheme="minorHAnsi"/>
          <w:i/>
          <w:iCs/>
        </w:rPr>
        <w:t>The Age of Bede</w:t>
      </w:r>
      <w:r>
        <w:rPr>
          <w:rFonts w:eastAsiaTheme="minorHAnsi"/>
        </w:rPr>
        <w:t>, Penguin Classics, 1998.</w:t>
      </w:r>
    </w:p>
    <w:p w14:paraId="31354F6D" w14:textId="77777777" w:rsid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b/>
          <w:bCs/>
          <w:color w:val="333333"/>
          <w:bdr w:val="none" w:sz="0" w:space="0" w:color="auto" w:frame="1"/>
        </w:rPr>
        <w:t>Day:  </w:t>
      </w:r>
      <w:proofErr w:type="gramStart"/>
      <w:r w:rsidRPr="00320B60">
        <w:rPr>
          <w:rFonts w:ascii="Georgia" w:eastAsiaTheme="minorHAnsi" w:hAnsi="Georgia"/>
          <w:b/>
          <w:bCs/>
          <w:color w:val="333333"/>
          <w:bdr w:val="none" w:sz="0" w:space="0" w:color="auto" w:frame="1"/>
        </w:rPr>
        <w:t>Friday  </w:t>
      </w:r>
      <w:r>
        <w:rPr>
          <w:rFonts w:ascii="Georgia" w:eastAsiaTheme="minorHAnsi" w:hAnsi="Georgia"/>
          <w:b/>
          <w:bCs/>
          <w:color w:val="333333"/>
          <w:bdr w:val="none" w:sz="0" w:space="0" w:color="auto" w:frame="1"/>
        </w:rPr>
        <w:tab/>
      </w:r>
      <w:proofErr w:type="gramEnd"/>
      <w:r>
        <w:rPr>
          <w:rFonts w:ascii="Georgia" w:eastAsiaTheme="minorHAnsi" w:hAnsi="Georgia"/>
          <w:b/>
          <w:bCs/>
          <w:color w:val="333333"/>
          <w:bdr w:val="none" w:sz="0" w:space="0" w:color="auto" w:frame="1"/>
        </w:rPr>
        <w:tab/>
      </w:r>
      <w:r w:rsidRPr="00320B60">
        <w:rPr>
          <w:rFonts w:ascii="Georgia" w:eastAsiaTheme="minorHAnsi" w:hAnsi="Georgia"/>
          <w:b/>
          <w:bCs/>
          <w:color w:val="333333"/>
          <w:bdr w:val="none" w:sz="0" w:space="0" w:color="auto" w:frame="1"/>
        </w:rPr>
        <w:t>Time</w:t>
      </w:r>
      <w:r w:rsidRPr="00320B60">
        <w:rPr>
          <w:rFonts w:ascii="Georgia" w:eastAsiaTheme="minorHAnsi" w:hAnsi="Georgia"/>
          <w:color w:val="333333"/>
        </w:rPr>
        <w:t>: 11.00-13.00</w:t>
      </w:r>
    </w:p>
    <w:p w14:paraId="6534CE47" w14:textId="77777777" w:rsidR="00320B60" w:rsidRPr="00320B60" w:rsidRDefault="00320B60" w:rsidP="00320B60">
      <w:pPr>
        <w:shd w:val="clear" w:color="auto" w:fill="FFFFFF"/>
        <w:textAlignment w:val="baseline"/>
        <w:rPr>
          <w:rFonts w:ascii="Georgia" w:eastAsiaTheme="minorHAnsi" w:hAnsi="Georgia"/>
          <w:color w:val="333333"/>
        </w:rPr>
      </w:pPr>
    </w:p>
    <w:p w14:paraId="35DA7726" w14:textId="77777777" w:rsidR="00320B60" w:rsidRP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color w:val="333333"/>
        </w:rPr>
        <w:t>5 week course from Friday 1</w:t>
      </w:r>
      <w:r>
        <w:rPr>
          <w:rFonts w:ascii="Georgia" w:eastAsiaTheme="minorHAnsi" w:hAnsi="Georgia"/>
          <w:color w:val="333333"/>
        </w:rPr>
        <w:t>9</w:t>
      </w:r>
      <w:r w:rsidRPr="00320B60">
        <w:rPr>
          <w:rFonts w:ascii="Georgia" w:eastAsiaTheme="minorHAnsi" w:hAnsi="Georgia"/>
          <w:color w:val="333333"/>
          <w:sz w:val="15"/>
          <w:szCs w:val="15"/>
          <w:bdr w:val="none" w:sz="0" w:space="0" w:color="auto" w:frame="1"/>
          <w:vertAlign w:val="superscript"/>
        </w:rPr>
        <w:t>th</w:t>
      </w:r>
      <w:r w:rsidRPr="00320B60">
        <w:rPr>
          <w:rFonts w:ascii="Georgia" w:eastAsiaTheme="minorHAnsi" w:hAnsi="Georgia"/>
          <w:color w:val="333333"/>
        </w:rPr>
        <w:t> </w:t>
      </w:r>
      <w:r>
        <w:rPr>
          <w:rFonts w:ascii="Georgia" w:eastAsiaTheme="minorHAnsi" w:hAnsi="Georgia"/>
          <w:color w:val="333333"/>
        </w:rPr>
        <w:t>January to 16</w:t>
      </w:r>
      <w:r w:rsidRPr="00320B60">
        <w:rPr>
          <w:rFonts w:ascii="Georgia" w:eastAsiaTheme="minorHAnsi" w:hAnsi="Georgia"/>
          <w:color w:val="333333"/>
        </w:rPr>
        <w:t xml:space="preserve">th </w:t>
      </w:r>
      <w:r>
        <w:rPr>
          <w:rFonts w:ascii="Georgia" w:eastAsiaTheme="minorHAnsi" w:hAnsi="Georgia"/>
          <w:color w:val="333333"/>
        </w:rPr>
        <w:t>February</w:t>
      </w:r>
      <w:r w:rsidRPr="00320B60">
        <w:rPr>
          <w:rFonts w:ascii="Georgia" w:eastAsiaTheme="minorHAnsi" w:hAnsi="Georgia"/>
          <w:color w:val="333333"/>
        </w:rPr>
        <w:t xml:space="preserve"> 2017</w:t>
      </w:r>
    </w:p>
    <w:p w14:paraId="1919C23A" w14:textId="77777777" w:rsidR="00320B60" w:rsidRDefault="00320B60" w:rsidP="00320B60">
      <w:pPr>
        <w:shd w:val="clear" w:color="auto" w:fill="FFFFFF"/>
        <w:textAlignment w:val="baseline"/>
        <w:rPr>
          <w:rFonts w:ascii="Georgia" w:eastAsiaTheme="minorHAnsi" w:hAnsi="Georgia"/>
          <w:b/>
          <w:bCs/>
          <w:color w:val="333333"/>
          <w:bdr w:val="none" w:sz="0" w:space="0" w:color="auto" w:frame="1"/>
        </w:rPr>
      </w:pPr>
    </w:p>
    <w:p w14:paraId="0C3CE13F" w14:textId="77777777" w:rsid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b/>
          <w:bCs/>
          <w:color w:val="333333"/>
          <w:bdr w:val="none" w:sz="0" w:space="0" w:color="auto" w:frame="1"/>
        </w:rPr>
        <w:t>Venue:</w:t>
      </w:r>
      <w:r w:rsidRPr="00320B60">
        <w:rPr>
          <w:rFonts w:ascii="Georgia" w:eastAsiaTheme="minorHAnsi" w:hAnsi="Georgia"/>
          <w:b/>
          <w:bCs/>
          <w:color w:val="333333"/>
          <w:bdr w:val="none" w:sz="0" w:space="0" w:color="auto" w:frame="1"/>
        </w:rPr>
        <w:br/>
      </w:r>
      <w:r w:rsidRPr="00320B60">
        <w:rPr>
          <w:rFonts w:ascii="Georgia" w:eastAsiaTheme="minorHAnsi" w:hAnsi="Georgia"/>
          <w:color w:val="333333"/>
        </w:rPr>
        <w:t>The Library,</w:t>
      </w:r>
      <w:r w:rsidRPr="00320B60">
        <w:rPr>
          <w:rFonts w:ascii="Georgia" w:eastAsiaTheme="minorHAnsi" w:hAnsi="Georgia"/>
          <w:color w:val="333333"/>
        </w:rPr>
        <w:br/>
        <w:t>St Peter’s House,</w:t>
      </w:r>
      <w:r w:rsidRPr="00320B60">
        <w:rPr>
          <w:rFonts w:ascii="PMingLiU" w:eastAsia="PMingLiU" w:hAnsi="PMingLiU" w:cs="PMingLiU"/>
          <w:color w:val="333333"/>
        </w:rPr>
        <w:br/>
      </w:r>
      <w:r w:rsidRPr="00320B60">
        <w:rPr>
          <w:rFonts w:ascii="Georgia" w:eastAsiaTheme="minorHAnsi" w:hAnsi="Georgia"/>
          <w:color w:val="333333"/>
        </w:rPr>
        <w:t>Oxford Road (Precinct Centre),</w:t>
      </w:r>
      <w:r w:rsidRPr="00320B60">
        <w:rPr>
          <w:rFonts w:ascii="PMingLiU" w:eastAsia="PMingLiU" w:hAnsi="PMingLiU" w:cs="PMingLiU"/>
          <w:color w:val="333333"/>
        </w:rPr>
        <w:br/>
      </w:r>
      <w:r w:rsidRPr="00320B60">
        <w:rPr>
          <w:rFonts w:ascii="Georgia" w:eastAsiaTheme="minorHAnsi" w:hAnsi="Georgia"/>
          <w:color w:val="333333"/>
        </w:rPr>
        <w:t>Manchester,</w:t>
      </w:r>
      <w:r w:rsidRPr="00320B60">
        <w:rPr>
          <w:rFonts w:ascii="PMingLiU" w:eastAsia="PMingLiU" w:hAnsi="PMingLiU" w:cs="PMingLiU"/>
          <w:color w:val="333333"/>
        </w:rPr>
        <w:br/>
      </w:r>
      <w:r w:rsidRPr="00320B60">
        <w:rPr>
          <w:rFonts w:ascii="Georgia" w:eastAsiaTheme="minorHAnsi" w:hAnsi="Georgia"/>
          <w:color w:val="333333"/>
        </w:rPr>
        <w:t>M13 9GH</w:t>
      </w:r>
      <w:r>
        <w:rPr>
          <w:rFonts w:ascii="Georgia" w:eastAsiaTheme="minorHAnsi" w:hAnsi="Georgia"/>
          <w:color w:val="333333"/>
        </w:rPr>
        <w:t xml:space="preserve"> </w:t>
      </w:r>
    </w:p>
    <w:p w14:paraId="1699EDE1" w14:textId="77777777" w:rsidR="00320B60" w:rsidRDefault="00320B60" w:rsidP="00320B60">
      <w:pPr>
        <w:shd w:val="clear" w:color="auto" w:fill="FFFFFF"/>
        <w:textAlignment w:val="baseline"/>
        <w:rPr>
          <w:rFonts w:ascii="Georgia" w:eastAsiaTheme="minorHAnsi" w:hAnsi="Georgia"/>
          <w:color w:val="333333"/>
        </w:rPr>
      </w:pPr>
    </w:p>
    <w:p w14:paraId="2A4788DC" w14:textId="77777777" w:rsidR="00320B60" w:rsidRPr="00320B60" w:rsidRDefault="00320B60" w:rsidP="00320B60">
      <w:pPr>
        <w:shd w:val="clear" w:color="auto" w:fill="FFFFFF"/>
        <w:textAlignment w:val="baseline"/>
        <w:rPr>
          <w:rFonts w:ascii="Georgia" w:eastAsiaTheme="minorHAnsi" w:hAnsi="Georgia"/>
          <w:color w:val="333333"/>
        </w:rPr>
      </w:pPr>
    </w:p>
    <w:tbl>
      <w:tblPr>
        <w:tblW w:w="8396" w:type="dxa"/>
        <w:tblLayout w:type="fixed"/>
        <w:tblCellMar>
          <w:left w:w="10" w:type="dxa"/>
          <w:right w:w="10" w:type="dxa"/>
        </w:tblCellMar>
        <w:tblLook w:val="0000" w:firstRow="0" w:lastRow="0" w:firstColumn="0" w:lastColumn="0" w:noHBand="0" w:noVBand="0"/>
      </w:tblPr>
      <w:tblGrid>
        <w:gridCol w:w="782"/>
        <w:gridCol w:w="1784"/>
        <w:gridCol w:w="2519"/>
        <w:gridCol w:w="3311"/>
      </w:tblGrid>
      <w:tr w:rsidR="00320B60" w14:paraId="63CFF41F" w14:textId="77777777" w:rsidTr="00D86C9E">
        <w:tc>
          <w:tcPr>
            <w:tcW w:w="782"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155A3BA3" w14:textId="77777777" w:rsidR="00320B60" w:rsidRDefault="00320B60" w:rsidP="00D86C9E">
            <w:pPr>
              <w:pStyle w:val="Standard"/>
            </w:pPr>
            <w:r>
              <w:rPr>
                <w:rFonts w:ascii="Verdana" w:eastAsia="Verdana" w:hAnsi="Verdana" w:cs="Verdana"/>
                <w:b/>
                <w:bCs/>
                <w:color w:val="003399"/>
              </w:rPr>
              <w:t>Price</w:t>
            </w:r>
          </w:p>
        </w:tc>
        <w:tc>
          <w:tcPr>
            <w:tcW w:w="178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41AE9C47" w14:textId="77777777" w:rsidR="00320B60" w:rsidRDefault="00320B60" w:rsidP="00D86C9E">
            <w:pPr>
              <w:pStyle w:val="Standard"/>
            </w:pPr>
            <w:r>
              <w:rPr>
                <w:rFonts w:ascii="Verdana" w:eastAsia="Verdana" w:hAnsi="Verdana" w:cs="Verdana"/>
                <w:b/>
                <w:bCs/>
                <w:color w:val="003399"/>
              </w:rPr>
              <w:t>Concessions</w:t>
            </w:r>
          </w:p>
        </w:tc>
        <w:tc>
          <w:tcPr>
            <w:tcW w:w="2519"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62AE353E" w14:textId="77777777" w:rsidR="00320B60" w:rsidRDefault="00320B60" w:rsidP="00D86C9E">
            <w:pPr>
              <w:pStyle w:val="Standard"/>
            </w:pPr>
            <w:r>
              <w:rPr>
                <w:rFonts w:ascii="Verdana" w:eastAsia="Verdana" w:hAnsi="Verdana" w:cs="Verdana"/>
                <w:b/>
                <w:bCs/>
                <w:color w:val="003399"/>
              </w:rPr>
              <w:t>Minimum No.</w:t>
            </w:r>
          </w:p>
        </w:tc>
        <w:tc>
          <w:tcPr>
            <w:tcW w:w="331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503D897A" w14:textId="77777777" w:rsidR="00320B60" w:rsidRDefault="00320B60" w:rsidP="00D86C9E">
            <w:pPr>
              <w:pStyle w:val="Standard"/>
            </w:pPr>
            <w:r>
              <w:rPr>
                <w:rFonts w:ascii="Verdana" w:eastAsia="Verdana" w:hAnsi="Verdana" w:cs="Verdana"/>
                <w:b/>
                <w:bCs/>
                <w:color w:val="003399"/>
              </w:rPr>
              <w:t>Maximum No.</w:t>
            </w:r>
          </w:p>
        </w:tc>
      </w:tr>
      <w:tr w:rsidR="00320B60" w14:paraId="669328A5" w14:textId="77777777" w:rsidTr="00D86C9E">
        <w:trPr>
          <w:trHeight w:val="246"/>
        </w:trPr>
        <w:tc>
          <w:tcPr>
            <w:tcW w:w="782"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3BD52B32" w14:textId="77777777" w:rsidR="00320B60" w:rsidRDefault="00320B60" w:rsidP="00D86C9E">
            <w:pPr>
              <w:pStyle w:val="Standard"/>
            </w:pPr>
            <w:r>
              <w:t>£50</w:t>
            </w:r>
          </w:p>
        </w:tc>
        <w:tc>
          <w:tcPr>
            <w:tcW w:w="178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7BE6E026" w14:textId="77777777" w:rsidR="00320B60" w:rsidRDefault="00320B60" w:rsidP="00D86C9E">
            <w:pPr>
              <w:pStyle w:val="Standard"/>
            </w:pPr>
          </w:p>
        </w:tc>
        <w:tc>
          <w:tcPr>
            <w:tcW w:w="2519"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6331FA7A" w14:textId="77777777" w:rsidR="00320B60" w:rsidRDefault="00320B60" w:rsidP="00D86C9E">
            <w:pPr>
              <w:pStyle w:val="Standard"/>
            </w:pPr>
            <w:r>
              <w:t>8</w:t>
            </w:r>
          </w:p>
        </w:tc>
        <w:tc>
          <w:tcPr>
            <w:tcW w:w="331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0F631116" w14:textId="77777777" w:rsidR="00320B60" w:rsidRDefault="00320B60" w:rsidP="00D86C9E">
            <w:pPr>
              <w:pStyle w:val="Standard"/>
            </w:pPr>
            <w:r>
              <w:t>14</w:t>
            </w:r>
          </w:p>
        </w:tc>
      </w:tr>
    </w:tbl>
    <w:p w14:paraId="368B2FDD" w14:textId="77777777" w:rsidR="00320B60" w:rsidRDefault="00320B60" w:rsidP="00320B60">
      <w:pPr>
        <w:widowControl w:val="0"/>
        <w:autoSpaceDE w:val="0"/>
        <w:autoSpaceDN w:val="0"/>
        <w:adjustRightInd w:val="0"/>
        <w:ind w:right="-386"/>
        <w:rPr>
          <w:rFonts w:eastAsiaTheme="minorHAnsi"/>
          <w:b/>
          <w:bCs/>
        </w:rPr>
      </w:pPr>
    </w:p>
    <w:p w14:paraId="14B7F6AC" w14:textId="77777777" w:rsidR="00320B60" w:rsidRDefault="00320B60" w:rsidP="00320B60">
      <w:pPr>
        <w:widowControl w:val="0"/>
        <w:autoSpaceDE w:val="0"/>
        <w:autoSpaceDN w:val="0"/>
        <w:adjustRightInd w:val="0"/>
        <w:ind w:right="-386"/>
        <w:rPr>
          <w:rFonts w:eastAsiaTheme="minorHAnsi"/>
        </w:rPr>
      </w:pPr>
      <w:r>
        <w:rPr>
          <w:rFonts w:eastAsiaTheme="minorHAnsi"/>
          <w:b/>
          <w:bCs/>
        </w:rPr>
        <w:t>CONTACT ADDRESS FOR BOOKINGS</w:t>
      </w:r>
      <w:r>
        <w:rPr>
          <w:rFonts w:eastAsiaTheme="minorHAnsi"/>
        </w:rPr>
        <w:t xml:space="preserve">: </w:t>
      </w:r>
    </w:p>
    <w:p w14:paraId="707EDF9A" w14:textId="77777777" w:rsidR="00320B60" w:rsidRDefault="00320B60" w:rsidP="00320B60">
      <w:pPr>
        <w:widowControl w:val="0"/>
        <w:autoSpaceDE w:val="0"/>
        <w:autoSpaceDN w:val="0"/>
        <w:adjustRightInd w:val="0"/>
        <w:ind w:right="-386"/>
        <w:rPr>
          <w:rFonts w:eastAsiaTheme="minorHAnsi"/>
        </w:rPr>
      </w:pPr>
      <w:r>
        <w:rPr>
          <w:rFonts w:eastAsiaTheme="minorHAnsi"/>
        </w:rPr>
        <w:t>Dr Damian J. Tyler, 63 Cuckoo Lane, Whitefield, Manchester, M45 6WD</w:t>
      </w:r>
    </w:p>
    <w:p w14:paraId="4E54FCD9" w14:textId="77777777" w:rsidR="00320B60" w:rsidRDefault="00320B60" w:rsidP="00320B60">
      <w:pPr>
        <w:widowControl w:val="0"/>
        <w:autoSpaceDE w:val="0"/>
        <w:autoSpaceDN w:val="0"/>
        <w:adjustRightInd w:val="0"/>
        <w:ind w:right="-386"/>
        <w:rPr>
          <w:rFonts w:eastAsiaTheme="minorHAnsi"/>
        </w:rPr>
      </w:pPr>
    </w:p>
    <w:p w14:paraId="2D74EBDF" w14:textId="77777777" w:rsidR="00320B60" w:rsidRDefault="00320B60" w:rsidP="00320B60">
      <w:pPr>
        <w:widowControl w:val="0"/>
        <w:autoSpaceDE w:val="0"/>
        <w:autoSpaceDN w:val="0"/>
        <w:adjustRightInd w:val="0"/>
        <w:ind w:right="-386"/>
        <w:rPr>
          <w:rFonts w:eastAsiaTheme="minorHAnsi"/>
        </w:rPr>
      </w:pPr>
      <w:r>
        <w:rPr>
          <w:rFonts w:eastAsiaTheme="minorHAnsi"/>
        </w:rPr>
        <w:t xml:space="preserve">Email: </w:t>
      </w:r>
      <w:hyperlink r:id="rId5" w:history="1">
        <w:r>
          <w:rPr>
            <w:rFonts w:eastAsiaTheme="minorHAnsi"/>
            <w:color w:val="0000FF"/>
            <w:u w:val="single" w:color="0000FF"/>
          </w:rPr>
          <w:t>dagoberht@hotmail.com</w:t>
        </w:r>
      </w:hyperlink>
    </w:p>
    <w:p w14:paraId="79899815" w14:textId="77777777" w:rsidR="00320B60" w:rsidRPr="00320B60" w:rsidRDefault="00320B60" w:rsidP="00320B60">
      <w:pPr>
        <w:shd w:val="clear" w:color="auto" w:fill="FFFFFF"/>
        <w:textAlignment w:val="baseline"/>
        <w:rPr>
          <w:rFonts w:ascii="Georgia" w:eastAsiaTheme="minorHAnsi" w:hAnsi="Georgia"/>
          <w:color w:val="333333"/>
        </w:rPr>
      </w:pPr>
    </w:p>
    <w:p w14:paraId="2E9C682C" w14:textId="77777777" w:rsidR="00320B60" w:rsidRPr="00320B60" w:rsidRDefault="00320B60" w:rsidP="00320B60">
      <w:pPr>
        <w:widowControl w:val="0"/>
        <w:autoSpaceDE w:val="0"/>
        <w:autoSpaceDN w:val="0"/>
        <w:adjustRightInd w:val="0"/>
        <w:ind w:right="-386"/>
        <w:rPr>
          <w:rFonts w:eastAsiaTheme="minorHAnsi"/>
          <w:b/>
          <w:bCs/>
          <w:sz w:val="28"/>
          <w:szCs w:val="28"/>
        </w:rPr>
      </w:pPr>
    </w:p>
    <w:p w14:paraId="41553447" w14:textId="77777777" w:rsidR="00320B60" w:rsidRPr="00320B60" w:rsidRDefault="00320B60" w:rsidP="00320B60">
      <w:pPr>
        <w:widowControl w:val="0"/>
        <w:autoSpaceDE w:val="0"/>
        <w:autoSpaceDN w:val="0"/>
        <w:adjustRightInd w:val="0"/>
        <w:ind w:right="-386"/>
        <w:jc w:val="center"/>
        <w:rPr>
          <w:rFonts w:ascii="Arial" w:eastAsiaTheme="minorHAnsi" w:hAnsi="Arial" w:cs="Arial"/>
          <w:b/>
          <w:bCs/>
          <w:i/>
          <w:sz w:val="28"/>
          <w:szCs w:val="28"/>
        </w:rPr>
      </w:pPr>
      <w:r w:rsidRPr="00320B60">
        <w:rPr>
          <w:rFonts w:ascii="Arial" w:eastAsiaTheme="minorHAnsi" w:hAnsi="Arial" w:cs="Arial"/>
          <w:b/>
          <w:i/>
          <w:sz w:val="28"/>
          <w:szCs w:val="28"/>
        </w:rPr>
        <w:t>First Contact: Spain and the Conquest of the New World</w:t>
      </w:r>
    </w:p>
    <w:p w14:paraId="7CC36EE4" w14:textId="77777777" w:rsidR="00320B60" w:rsidRDefault="00320B60" w:rsidP="00320B60">
      <w:pPr>
        <w:widowControl w:val="0"/>
        <w:autoSpaceDE w:val="0"/>
        <w:autoSpaceDN w:val="0"/>
        <w:adjustRightInd w:val="0"/>
        <w:ind w:right="-386"/>
        <w:rPr>
          <w:rFonts w:eastAsiaTheme="minorHAnsi"/>
          <w:b/>
          <w:bCs/>
        </w:rPr>
      </w:pPr>
    </w:p>
    <w:p w14:paraId="70821EA1" w14:textId="77777777" w:rsidR="00320B60" w:rsidRDefault="00320B60" w:rsidP="00320B60">
      <w:pPr>
        <w:rPr>
          <w:rFonts w:eastAsiaTheme="minorHAnsi"/>
        </w:rPr>
      </w:pPr>
      <w:r>
        <w:rPr>
          <w:rFonts w:eastAsiaTheme="minorHAnsi"/>
        </w:rPr>
        <w:t>Damian Tyler</w:t>
      </w:r>
    </w:p>
    <w:p w14:paraId="4ADE05CB" w14:textId="77777777" w:rsidR="00320B60" w:rsidRDefault="00320B60" w:rsidP="00320B60">
      <w:pPr>
        <w:rPr>
          <w:rFonts w:eastAsiaTheme="minorHAnsi"/>
        </w:rPr>
      </w:pPr>
    </w:p>
    <w:p w14:paraId="4291079A" w14:textId="77777777" w:rsidR="00320B60" w:rsidRDefault="00320B60" w:rsidP="00320B60">
      <w:pPr>
        <w:rPr>
          <w:rFonts w:eastAsiaTheme="minorHAnsi"/>
        </w:rPr>
      </w:pPr>
      <w:r>
        <w:rPr>
          <w:rFonts w:eastAsiaTheme="minorHAnsi"/>
        </w:rPr>
        <w:t>At the very end of the middle ages the Spanish ‘discovered’ a ‘New World’ in the Americas. Though ‘New’ to Europeans, the American continent had been inhabited for millennia, and there was a long tradition of civilized life in parts of Central and South America. Within half a century Spanish explorers, colonists and conquistadores had encountered and destroyed three advanced civilizations - the Mexica (better known as the Aztecs), the Maya and the Incas. This course compares and contrasts Spain and the three American civilizations on the eve of first contact, then traces the history of these contacts and considers the factors which enabled tiny groups of Europeans to conquer, overwhelm and ultimately destroy great, powerful and populous civilizations.</w:t>
      </w:r>
    </w:p>
    <w:p w14:paraId="50DD6407" w14:textId="77777777" w:rsidR="00320B60" w:rsidRDefault="00320B60" w:rsidP="00320B60">
      <w:pPr>
        <w:rPr>
          <w:rFonts w:eastAsiaTheme="minorHAnsi"/>
        </w:rPr>
      </w:pPr>
    </w:p>
    <w:p w14:paraId="58534C83" w14:textId="77777777" w:rsidR="00320B60" w:rsidRDefault="00320B60" w:rsidP="00320B60">
      <w:pPr>
        <w:widowControl w:val="0"/>
        <w:autoSpaceDE w:val="0"/>
        <w:autoSpaceDN w:val="0"/>
        <w:adjustRightInd w:val="0"/>
        <w:ind w:right="-386"/>
        <w:jc w:val="both"/>
        <w:rPr>
          <w:rFonts w:eastAsiaTheme="minorHAnsi"/>
        </w:rPr>
      </w:pPr>
      <w:r>
        <w:rPr>
          <w:rFonts w:eastAsiaTheme="minorHAnsi"/>
        </w:rPr>
        <w:t>Recommended reading (for publication in brochure):</w:t>
      </w:r>
      <w:r>
        <w:rPr>
          <w:rFonts w:eastAsiaTheme="minorHAnsi"/>
        </w:rPr>
        <w:tab/>
      </w:r>
    </w:p>
    <w:p w14:paraId="0EAB33FB" w14:textId="77777777" w:rsidR="00320B60" w:rsidRDefault="00320B60" w:rsidP="00320B60">
      <w:pPr>
        <w:widowControl w:val="0"/>
        <w:autoSpaceDE w:val="0"/>
        <w:autoSpaceDN w:val="0"/>
        <w:adjustRightInd w:val="0"/>
        <w:ind w:right="-386"/>
        <w:jc w:val="both"/>
        <w:rPr>
          <w:rFonts w:eastAsiaTheme="minorHAnsi"/>
        </w:rPr>
      </w:pPr>
    </w:p>
    <w:p w14:paraId="58F5D75C"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No supplementary reading is necessary for this course, but those wishing to investigate more deeply might look at the following:</w:t>
      </w:r>
    </w:p>
    <w:p w14:paraId="6A53C095"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 xml:space="preserve">M. D. Coe, </w:t>
      </w:r>
      <w:r>
        <w:rPr>
          <w:rFonts w:eastAsiaTheme="minorHAnsi"/>
          <w:i/>
          <w:iCs/>
        </w:rPr>
        <w:t>The Maya</w:t>
      </w:r>
      <w:r>
        <w:rPr>
          <w:rFonts w:eastAsiaTheme="minorHAnsi"/>
        </w:rPr>
        <w:t>,</w:t>
      </w:r>
      <w:r>
        <w:rPr>
          <w:rFonts w:ascii="Calibri" w:eastAsiaTheme="minorHAnsi" w:hAnsi="Calibri" w:cs="Calibri"/>
          <w:sz w:val="22"/>
          <w:szCs w:val="22"/>
        </w:rPr>
        <w:t xml:space="preserve"> T</w:t>
      </w:r>
      <w:r>
        <w:rPr>
          <w:rFonts w:eastAsiaTheme="minorHAnsi"/>
        </w:rPr>
        <w:t>hames and Hudson, 2015.</w:t>
      </w:r>
    </w:p>
    <w:p w14:paraId="2A0FFE01"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 xml:space="preserve">R. F. Townsend, </w:t>
      </w:r>
      <w:r>
        <w:rPr>
          <w:rFonts w:eastAsiaTheme="minorHAnsi"/>
          <w:i/>
          <w:iCs/>
        </w:rPr>
        <w:t>The Aztecs</w:t>
      </w:r>
      <w:r>
        <w:rPr>
          <w:rFonts w:eastAsiaTheme="minorHAnsi"/>
        </w:rPr>
        <w:t>, Thames and Hudson, 2010.</w:t>
      </w:r>
    </w:p>
    <w:p w14:paraId="42903917" w14:textId="77777777" w:rsidR="00320B60" w:rsidRDefault="00320B60" w:rsidP="00320B60">
      <w:pPr>
        <w:widowControl w:val="0"/>
        <w:autoSpaceDE w:val="0"/>
        <w:autoSpaceDN w:val="0"/>
        <w:adjustRightInd w:val="0"/>
        <w:spacing w:after="200" w:line="276" w:lineRule="auto"/>
        <w:ind w:right="-386"/>
        <w:jc w:val="both"/>
        <w:rPr>
          <w:rFonts w:eastAsiaTheme="minorHAnsi"/>
        </w:rPr>
      </w:pPr>
      <w:r>
        <w:rPr>
          <w:rFonts w:eastAsiaTheme="minorHAnsi"/>
        </w:rPr>
        <w:t xml:space="preserve">T. N. </w:t>
      </w:r>
      <w:proofErr w:type="spellStart"/>
      <w:r>
        <w:rPr>
          <w:rFonts w:eastAsiaTheme="minorHAnsi"/>
        </w:rPr>
        <w:t>D’Altroy</w:t>
      </w:r>
      <w:proofErr w:type="spellEnd"/>
      <w:r>
        <w:rPr>
          <w:rFonts w:eastAsiaTheme="minorHAnsi"/>
        </w:rPr>
        <w:t xml:space="preserve">, </w:t>
      </w:r>
      <w:r>
        <w:rPr>
          <w:rFonts w:eastAsiaTheme="minorHAnsi"/>
          <w:i/>
          <w:iCs/>
        </w:rPr>
        <w:t>The Incas</w:t>
      </w:r>
      <w:r>
        <w:rPr>
          <w:rFonts w:eastAsiaTheme="minorHAnsi"/>
        </w:rPr>
        <w:t>, Wiley-Blackwell, 2014.</w:t>
      </w:r>
    </w:p>
    <w:p w14:paraId="31EB0132" w14:textId="77777777" w:rsidR="00320B60" w:rsidRDefault="00320B60" w:rsidP="00320B60">
      <w:pPr>
        <w:widowControl w:val="0"/>
        <w:autoSpaceDE w:val="0"/>
        <w:autoSpaceDN w:val="0"/>
        <w:adjustRightInd w:val="0"/>
        <w:ind w:right="-386"/>
        <w:rPr>
          <w:rFonts w:eastAsiaTheme="minorHAnsi"/>
          <w:b/>
          <w:bCs/>
        </w:rPr>
      </w:pPr>
    </w:p>
    <w:p w14:paraId="1F99ACD7" w14:textId="77777777" w:rsid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b/>
          <w:bCs/>
          <w:color w:val="333333"/>
          <w:bdr w:val="none" w:sz="0" w:space="0" w:color="auto" w:frame="1"/>
        </w:rPr>
        <w:t>Day:  </w:t>
      </w:r>
      <w:proofErr w:type="gramStart"/>
      <w:r w:rsidRPr="00320B60">
        <w:rPr>
          <w:rFonts w:ascii="Georgia" w:eastAsiaTheme="minorHAnsi" w:hAnsi="Georgia"/>
          <w:b/>
          <w:bCs/>
          <w:color w:val="333333"/>
          <w:bdr w:val="none" w:sz="0" w:space="0" w:color="auto" w:frame="1"/>
        </w:rPr>
        <w:t>Friday  </w:t>
      </w:r>
      <w:r>
        <w:rPr>
          <w:rFonts w:ascii="Georgia" w:eastAsiaTheme="minorHAnsi" w:hAnsi="Georgia"/>
          <w:b/>
          <w:bCs/>
          <w:color w:val="333333"/>
          <w:bdr w:val="none" w:sz="0" w:space="0" w:color="auto" w:frame="1"/>
        </w:rPr>
        <w:tab/>
      </w:r>
      <w:proofErr w:type="gramEnd"/>
      <w:r>
        <w:rPr>
          <w:rFonts w:ascii="Georgia" w:eastAsiaTheme="minorHAnsi" w:hAnsi="Georgia"/>
          <w:b/>
          <w:bCs/>
          <w:color w:val="333333"/>
          <w:bdr w:val="none" w:sz="0" w:space="0" w:color="auto" w:frame="1"/>
        </w:rPr>
        <w:tab/>
      </w:r>
      <w:r w:rsidRPr="00320B60">
        <w:rPr>
          <w:rFonts w:ascii="Georgia" w:eastAsiaTheme="minorHAnsi" w:hAnsi="Georgia"/>
          <w:b/>
          <w:bCs/>
          <w:color w:val="333333"/>
          <w:bdr w:val="none" w:sz="0" w:space="0" w:color="auto" w:frame="1"/>
        </w:rPr>
        <w:t>Time</w:t>
      </w:r>
      <w:r w:rsidRPr="00320B60">
        <w:rPr>
          <w:rFonts w:ascii="Georgia" w:eastAsiaTheme="minorHAnsi" w:hAnsi="Georgia"/>
          <w:color w:val="333333"/>
        </w:rPr>
        <w:t>: 11.00-13.00</w:t>
      </w:r>
    </w:p>
    <w:p w14:paraId="65886721" w14:textId="77777777" w:rsidR="00320B60" w:rsidRPr="00320B60" w:rsidRDefault="00320B60" w:rsidP="00320B60">
      <w:pPr>
        <w:shd w:val="clear" w:color="auto" w:fill="FFFFFF"/>
        <w:textAlignment w:val="baseline"/>
        <w:rPr>
          <w:rFonts w:ascii="Georgia" w:eastAsiaTheme="minorHAnsi" w:hAnsi="Georgia"/>
          <w:color w:val="333333"/>
        </w:rPr>
      </w:pPr>
    </w:p>
    <w:p w14:paraId="3CE95194" w14:textId="77777777" w:rsidR="00320B60" w:rsidRP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color w:val="333333"/>
        </w:rPr>
        <w:t>5 week course</w:t>
      </w:r>
      <w:r>
        <w:rPr>
          <w:rFonts w:ascii="Georgia" w:eastAsiaTheme="minorHAnsi" w:hAnsi="Georgia"/>
          <w:color w:val="333333"/>
        </w:rPr>
        <w:t xml:space="preserve">: </w:t>
      </w:r>
      <w:r>
        <w:rPr>
          <w:rFonts w:eastAsiaTheme="minorHAnsi"/>
        </w:rPr>
        <w:t xml:space="preserve">A block of four weeks 2 March 18 to 23 March 18, followed by a </w:t>
      </w:r>
      <w:proofErr w:type="gramStart"/>
      <w:r>
        <w:rPr>
          <w:rFonts w:eastAsiaTheme="minorHAnsi"/>
        </w:rPr>
        <w:t>one week</w:t>
      </w:r>
      <w:proofErr w:type="gramEnd"/>
      <w:r>
        <w:rPr>
          <w:rFonts w:eastAsiaTheme="minorHAnsi"/>
        </w:rPr>
        <w:t xml:space="preserve"> gap for Easter, then after Easter 6 April 2018</w:t>
      </w:r>
    </w:p>
    <w:p w14:paraId="5DEB6684" w14:textId="77777777" w:rsidR="00320B60" w:rsidRDefault="00320B60" w:rsidP="00320B60">
      <w:pPr>
        <w:shd w:val="clear" w:color="auto" w:fill="FFFFFF"/>
        <w:textAlignment w:val="baseline"/>
        <w:rPr>
          <w:rFonts w:ascii="Georgia" w:eastAsiaTheme="minorHAnsi" w:hAnsi="Georgia"/>
          <w:b/>
          <w:bCs/>
          <w:color w:val="333333"/>
          <w:bdr w:val="none" w:sz="0" w:space="0" w:color="auto" w:frame="1"/>
        </w:rPr>
      </w:pPr>
    </w:p>
    <w:p w14:paraId="2AC8C84C" w14:textId="77777777" w:rsidR="00320B60" w:rsidRPr="00320B60" w:rsidRDefault="00320B60" w:rsidP="00320B60">
      <w:pPr>
        <w:shd w:val="clear" w:color="auto" w:fill="FFFFFF"/>
        <w:textAlignment w:val="baseline"/>
        <w:rPr>
          <w:rFonts w:ascii="Georgia" w:eastAsiaTheme="minorHAnsi" w:hAnsi="Georgia"/>
          <w:color w:val="333333"/>
        </w:rPr>
      </w:pPr>
      <w:r w:rsidRPr="00320B60">
        <w:rPr>
          <w:rFonts w:ascii="Georgia" w:eastAsiaTheme="minorHAnsi" w:hAnsi="Georgia"/>
          <w:b/>
          <w:bCs/>
          <w:color w:val="333333"/>
          <w:bdr w:val="none" w:sz="0" w:space="0" w:color="auto" w:frame="1"/>
        </w:rPr>
        <w:t>Venue:</w:t>
      </w:r>
      <w:r w:rsidRPr="00320B60">
        <w:rPr>
          <w:rFonts w:ascii="Georgia" w:eastAsiaTheme="minorHAnsi" w:hAnsi="Georgia"/>
          <w:b/>
          <w:bCs/>
          <w:color w:val="333333"/>
          <w:bdr w:val="none" w:sz="0" w:space="0" w:color="auto" w:frame="1"/>
        </w:rPr>
        <w:br/>
      </w:r>
      <w:r w:rsidRPr="00320B60">
        <w:rPr>
          <w:rFonts w:ascii="Georgia" w:eastAsiaTheme="minorHAnsi" w:hAnsi="Georgia"/>
          <w:color w:val="333333"/>
        </w:rPr>
        <w:t>The Library,</w:t>
      </w:r>
      <w:r w:rsidRPr="00320B60">
        <w:rPr>
          <w:rFonts w:ascii="Georgia" w:eastAsiaTheme="minorHAnsi" w:hAnsi="Georgia"/>
          <w:color w:val="333333"/>
        </w:rPr>
        <w:br/>
        <w:t>St Peter’s House,</w:t>
      </w:r>
      <w:r w:rsidRPr="00320B60">
        <w:rPr>
          <w:rFonts w:ascii="PMingLiU" w:eastAsia="PMingLiU" w:hAnsi="PMingLiU" w:cs="PMingLiU"/>
          <w:color w:val="333333"/>
        </w:rPr>
        <w:br/>
      </w:r>
      <w:r w:rsidRPr="00320B60">
        <w:rPr>
          <w:rFonts w:ascii="Georgia" w:eastAsiaTheme="minorHAnsi" w:hAnsi="Georgia"/>
          <w:color w:val="333333"/>
        </w:rPr>
        <w:t>Oxford Road (Precinct Centre),</w:t>
      </w:r>
      <w:r w:rsidRPr="00320B60">
        <w:rPr>
          <w:rFonts w:ascii="PMingLiU" w:eastAsia="PMingLiU" w:hAnsi="PMingLiU" w:cs="PMingLiU"/>
          <w:color w:val="333333"/>
        </w:rPr>
        <w:br/>
      </w:r>
      <w:r w:rsidRPr="00320B60">
        <w:rPr>
          <w:rFonts w:ascii="Georgia" w:eastAsiaTheme="minorHAnsi" w:hAnsi="Georgia"/>
          <w:color w:val="333333"/>
        </w:rPr>
        <w:t>Manchester,</w:t>
      </w:r>
      <w:r w:rsidRPr="00320B60">
        <w:rPr>
          <w:rFonts w:ascii="PMingLiU" w:eastAsia="PMingLiU" w:hAnsi="PMingLiU" w:cs="PMingLiU"/>
          <w:color w:val="333333"/>
        </w:rPr>
        <w:br/>
      </w:r>
      <w:r w:rsidRPr="00320B60">
        <w:rPr>
          <w:rFonts w:ascii="Georgia" w:eastAsiaTheme="minorHAnsi" w:hAnsi="Georgia"/>
          <w:color w:val="333333"/>
        </w:rPr>
        <w:t>M13 9GH</w:t>
      </w:r>
    </w:p>
    <w:p w14:paraId="73B8C620" w14:textId="77777777" w:rsidR="00320B60" w:rsidRDefault="00320B60" w:rsidP="00320B60">
      <w:pPr>
        <w:pStyle w:val="Standard"/>
      </w:pPr>
    </w:p>
    <w:tbl>
      <w:tblPr>
        <w:tblW w:w="8396" w:type="dxa"/>
        <w:tblLayout w:type="fixed"/>
        <w:tblCellMar>
          <w:left w:w="10" w:type="dxa"/>
          <w:right w:w="10" w:type="dxa"/>
        </w:tblCellMar>
        <w:tblLook w:val="0000" w:firstRow="0" w:lastRow="0" w:firstColumn="0" w:lastColumn="0" w:noHBand="0" w:noVBand="0"/>
      </w:tblPr>
      <w:tblGrid>
        <w:gridCol w:w="782"/>
        <w:gridCol w:w="1784"/>
        <w:gridCol w:w="2519"/>
        <w:gridCol w:w="3311"/>
      </w:tblGrid>
      <w:tr w:rsidR="00320B60" w14:paraId="38399594" w14:textId="77777777" w:rsidTr="00D86C9E">
        <w:tc>
          <w:tcPr>
            <w:tcW w:w="782"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1295B483" w14:textId="77777777" w:rsidR="00320B60" w:rsidRDefault="00320B60" w:rsidP="00D86C9E">
            <w:pPr>
              <w:pStyle w:val="Standard"/>
            </w:pPr>
            <w:r>
              <w:rPr>
                <w:rFonts w:ascii="Verdana" w:eastAsia="Verdana" w:hAnsi="Verdana" w:cs="Verdana"/>
                <w:b/>
                <w:bCs/>
                <w:color w:val="003399"/>
              </w:rPr>
              <w:t>Price</w:t>
            </w:r>
          </w:p>
        </w:tc>
        <w:tc>
          <w:tcPr>
            <w:tcW w:w="178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143AB4DF" w14:textId="77777777" w:rsidR="00320B60" w:rsidRDefault="00320B60" w:rsidP="00D86C9E">
            <w:pPr>
              <w:pStyle w:val="Standard"/>
            </w:pPr>
            <w:r>
              <w:rPr>
                <w:rFonts w:ascii="Verdana" w:eastAsia="Verdana" w:hAnsi="Verdana" w:cs="Verdana"/>
                <w:b/>
                <w:bCs/>
                <w:color w:val="003399"/>
              </w:rPr>
              <w:t>Concessions</w:t>
            </w:r>
          </w:p>
        </w:tc>
        <w:tc>
          <w:tcPr>
            <w:tcW w:w="2519"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2B399A17" w14:textId="77777777" w:rsidR="00320B60" w:rsidRDefault="00320B60" w:rsidP="00D86C9E">
            <w:pPr>
              <w:pStyle w:val="Standard"/>
            </w:pPr>
            <w:r>
              <w:rPr>
                <w:rFonts w:ascii="Verdana" w:eastAsia="Verdana" w:hAnsi="Verdana" w:cs="Verdana"/>
                <w:b/>
                <w:bCs/>
                <w:color w:val="003399"/>
              </w:rPr>
              <w:t>Minimum No.</w:t>
            </w:r>
          </w:p>
        </w:tc>
        <w:tc>
          <w:tcPr>
            <w:tcW w:w="331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5BD93E58" w14:textId="77777777" w:rsidR="00320B60" w:rsidRDefault="00320B60" w:rsidP="00D86C9E">
            <w:pPr>
              <w:pStyle w:val="Standard"/>
            </w:pPr>
            <w:r>
              <w:rPr>
                <w:rFonts w:ascii="Verdana" w:eastAsia="Verdana" w:hAnsi="Verdana" w:cs="Verdana"/>
                <w:b/>
                <w:bCs/>
                <w:color w:val="003399"/>
              </w:rPr>
              <w:t>Maximum No.</w:t>
            </w:r>
          </w:p>
        </w:tc>
      </w:tr>
      <w:tr w:rsidR="00320B60" w14:paraId="44B91B4F" w14:textId="77777777" w:rsidTr="00320B60">
        <w:trPr>
          <w:trHeight w:val="246"/>
        </w:trPr>
        <w:tc>
          <w:tcPr>
            <w:tcW w:w="782"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142C1FEA" w14:textId="77777777" w:rsidR="00320B60" w:rsidRDefault="00320B60" w:rsidP="00D86C9E">
            <w:pPr>
              <w:pStyle w:val="Standard"/>
            </w:pPr>
            <w:r>
              <w:t>£50</w:t>
            </w:r>
          </w:p>
        </w:tc>
        <w:tc>
          <w:tcPr>
            <w:tcW w:w="1784"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7BD122FB" w14:textId="77777777" w:rsidR="00320B60" w:rsidRDefault="00320B60" w:rsidP="00D86C9E">
            <w:pPr>
              <w:pStyle w:val="Standard"/>
            </w:pPr>
          </w:p>
        </w:tc>
        <w:tc>
          <w:tcPr>
            <w:tcW w:w="2519"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2137E242" w14:textId="77777777" w:rsidR="00320B60" w:rsidRDefault="00320B60" w:rsidP="00D86C9E">
            <w:pPr>
              <w:pStyle w:val="Standard"/>
            </w:pPr>
            <w:r>
              <w:t>8</w:t>
            </w:r>
          </w:p>
        </w:tc>
        <w:tc>
          <w:tcPr>
            <w:tcW w:w="331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77EFC72E" w14:textId="77777777" w:rsidR="00320B60" w:rsidRDefault="00320B60" w:rsidP="00D86C9E">
            <w:pPr>
              <w:pStyle w:val="Standard"/>
            </w:pPr>
            <w:r>
              <w:t>14</w:t>
            </w:r>
          </w:p>
        </w:tc>
      </w:tr>
    </w:tbl>
    <w:p w14:paraId="0C59793F" w14:textId="77777777" w:rsidR="00320B60" w:rsidRDefault="00320B60" w:rsidP="00320B60">
      <w:pPr>
        <w:widowControl w:val="0"/>
        <w:autoSpaceDE w:val="0"/>
        <w:autoSpaceDN w:val="0"/>
        <w:adjustRightInd w:val="0"/>
        <w:ind w:right="-386"/>
        <w:rPr>
          <w:rFonts w:eastAsiaTheme="minorHAnsi"/>
          <w:b/>
          <w:bCs/>
        </w:rPr>
      </w:pPr>
      <w:bookmarkStart w:id="0" w:name="_GoBack"/>
    </w:p>
    <w:p w14:paraId="5F8D2DAB" w14:textId="77777777" w:rsidR="00320B60" w:rsidRDefault="00320B60" w:rsidP="00320B60">
      <w:pPr>
        <w:widowControl w:val="0"/>
        <w:autoSpaceDE w:val="0"/>
        <w:autoSpaceDN w:val="0"/>
        <w:adjustRightInd w:val="0"/>
        <w:ind w:right="-386"/>
        <w:rPr>
          <w:rFonts w:eastAsiaTheme="minorHAnsi"/>
        </w:rPr>
      </w:pPr>
      <w:r>
        <w:rPr>
          <w:rFonts w:eastAsiaTheme="minorHAnsi"/>
          <w:b/>
          <w:bCs/>
        </w:rPr>
        <w:t>CONTACT ADDRESS FOR BOOKINGS</w:t>
      </w:r>
      <w:r>
        <w:rPr>
          <w:rFonts w:eastAsiaTheme="minorHAnsi"/>
        </w:rPr>
        <w:t xml:space="preserve">: </w:t>
      </w:r>
    </w:p>
    <w:bookmarkEnd w:id="0"/>
    <w:p w14:paraId="461DD369" w14:textId="77777777" w:rsidR="00320B60" w:rsidRDefault="00320B60" w:rsidP="00320B60">
      <w:pPr>
        <w:widowControl w:val="0"/>
        <w:autoSpaceDE w:val="0"/>
        <w:autoSpaceDN w:val="0"/>
        <w:adjustRightInd w:val="0"/>
        <w:ind w:right="-386"/>
        <w:rPr>
          <w:rFonts w:eastAsiaTheme="minorHAnsi"/>
        </w:rPr>
      </w:pPr>
      <w:r>
        <w:rPr>
          <w:rFonts w:eastAsiaTheme="minorHAnsi"/>
        </w:rPr>
        <w:t>Dr Damian J. Tyler, 63 Cuckoo Lane, Whitefield, Manchester, M45 6WD</w:t>
      </w:r>
    </w:p>
    <w:p w14:paraId="01443844" w14:textId="77777777" w:rsidR="00320B60" w:rsidRDefault="00320B60" w:rsidP="00320B60">
      <w:pPr>
        <w:widowControl w:val="0"/>
        <w:autoSpaceDE w:val="0"/>
        <w:autoSpaceDN w:val="0"/>
        <w:adjustRightInd w:val="0"/>
        <w:ind w:right="-386"/>
        <w:rPr>
          <w:rFonts w:eastAsiaTheme="minorHAnsi"/>
        </w:rPr>
      </w:pPr>
    </w:p>
    <w:p w14:paraId="312F495E" w14:textId="77777777" w:rsidR="00320B60" w:rsidRDefault="00320B60" w:rsidP="00320B60">
      <w:pPr>
        <w:widowControl w:val="0"/>
        <w:autoSpaceDE w:val="0"/>
        <w:autoSpaceDN w:val="0"/>
        <w:adjustRightInd w:val="0"/>
        <w:ind w:right="-386"/>
        <w:rPr>
          <w:rFonts w:eastAsiaTheme="minorHAnsi"/>
        </w:rPr>
      </w:pPr>
      <w:r>
        <w:rPr>
          <w:rFonts w:eastAsiaTheme="minorHAnsi"/>
        </w:rPr>
        <w:t xml:space="preserve">Email: </w:t>
      </w:r>
      <w:hyperlink r:id="rId6" w:history="1">
        <w:r>
          <w:rPr>
            <w:rFonts w:eastAsiaTheme="minorHAnsi"/>
            <w:color w:val="0000FF"/>
            <w:u w:val="single" w:color="0000FF"/>
          </w:rPr>
          <w:t>dagoberht@hotmail.com</w:t>
        </w:r>
      </w:hyperlink>
    </w:p>
    <w:p w14:paraId="7E1E6B9E" w14:textId="77777777" w:rsidR="00320B60" w:rsidRDefault="00320B60" w:rsidP="00320B60">
      <w:pPr>
        <w:widowControl w:val="0"/>
        <w:autoSpaceDE w:val="0"/>
        <w:autoSpaceDN w:val="0"/>
        <w:adjustRightInd w:val="0"/>
        <w:ind w:right="-386"/>
        <w:rPr>
          <w:rFonts w:eastAsiaTheme="minorHAnsi"/>
          <w:b/>
          <w:bCs/>
        </w:rPr>
      </w:pPr>
    </w:p>
    <w:p w14:paraId="70139B3F" w14:textId="77777777" w:rsidR="00320B60" w:rsidRDefault="00320B60" w:rsidP="00320B60">
      <w:pPr>
        <w:widowControl w:val="0"/>
        <w:autoSpaceDE w:val="0"/>
        <w:autoSpaceDN w:val="0"/>
        <w:adjustRightInd w:val="0"/>
        <w:ind w:right="-386"/>
        <w:rPr>
          <w:rFonts w:eastAsiaTheme="minorHAnsi"/>
        </w:rPr>
      </w:pPr>
    </w:p>
    <w:p w14:paraId="518908F4" w14:textId="5B3A5212" w:rsidR="00320B60" w:rsidRDefault="00320B60" w:rsidP="00320B60">
      <w:pPr>
        <w:widowControl w:val="0"/>
        <w:autoSpaceDE w:val="0"/>
        <w:autoSpaceDN w:val="0"/>
        <w:adjustRightInd w:val="0"/>
        <w:ind w:right="-386"/>
        <w:rPr>
          <w:rFonts w:eastAsiaTheme="minorHAnsi"/>
        </w:rPr>
      </w:pPr>
      <w:r>
        <w:rPr>
          <w:rFonts w:eastAsiaTheme="minorHAnsi"/>
        </w:rPr>
        <w:t xml:space="preserve"> </w:t>
      </w:r>
    </w:p>
    <w:sectPr w:rsidR="00320B60" w:rsidSect="00B068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7A"/>
    <w:rsid w:val="000320BC"/>
    <w:rsid w:val="00043880"/>
    <w:rsid w:val="00045147"/>
    <w:rsid w:val="000471EE"/>
    <w:rsid w:val="0006504B"/>
    <w:rsid w:val="00074180"/>
    <w:rsid w:val="00091A28"/>
    <w:rsid w:val="00091D15"/>
    <w:rsid w:val="00092CA5"/>
    <w:rsid w:val="000938A9"/>
    <w:rsid w:val="00097F68"/>
    <w:rsid w:val="000B46E8"/>
    <w:rsid w:val="000C57CE"/>
    <w:rsid w:val="000C5A1C"/>
    <w:rsid w:val="000C7BDB"/>
    <w:rsid w:val="00101736"/>
    <w:rsid w:val="00106DB3"/>
    <w:rsid w:val="001346E2"/>
    <w:rsid w:val="00150378"/>
    <w:rsid w:val="00173E15"/>
    <w:rsid w:val="001B0BAB"/>
    <w:rsid w:val="001F3E50"/>
    <w:rsid w:val="001F4FA6"/>
    <w:rsid w:val="002023EA"/>
    <w:rsid w:val="00220E35"/>
    <w:rsid w:val="002600DC"/>
    <w:rsid w:val="002A5DE3"/>
    <w:rsid w:val="002C4630"/>
    <w:rsid w:val="002D763E"/>
    <w:rsid w:val="002E351B"/>
    <w:rsid w:val="002F1D4C"/>
    <w:rsid w:val="002F28DC"/>
    <w:rsid w:val="002F2F7E"/>
    <w:rsid w:val="00320B60"/>
    <w:rsid w:val="00324582"/>
    <w:rsid w:val="00337014"/>
    <w:rsid w:val="003433F9"/>
    <w:rsid w:val="0034610D"/>
    <w:rsid w:val="003526D6"/>
    <w:rsid w:val="00374CF0"/>
    <w:rsid w:val="00376368"/>
    <w:rsid w:val="003837A9"/>
    <w:rsid w:val="003C4AA5"/>
    <w:rsid w:val="003C7962"/>
    <w:rsid w:val="003F0392"/>
    <w:rsid w:val="0041478E"/>
    <w:rsid w:val="00423915"/>
    <w:rsid w:val="00436551"/>
    <w:rsid w:val="00465C30"/>
    <w:rsid w:val="004675D6"/>
    <w:rsid w:val="00467894"/>
    <w:rsid w:val="00470721"/>
    <w:rsid w:val="00497D3B"/>
    <w:rsid w:val="004E4EF7"/>
    <w:rsid w:val="005066FF"/>
    <w:rsid w:val="00515456"/>
    <w:rsid w:val="00584D3A"/>
    <w:rsid w:val="005870FA"/>
    <w:rsid w:val="00587B6C"/>
    <w:rsid w:val="005C7D81"/>
    <w:rsid w:val="005D00B8"/>
    <w:rsid w:val="005D00F5"/>
    <w:rsid w:val="005E38C2"/>
    <w:rsid w:val="006268A2"/>
    <w:rsid w:val="00626F93"/>
    <w:rsid w:val="0063449A"/>
    <w:rsid w:val="0064137F"/>
    <w:rsid w:val="006833FE"/>
    <w:rsid w:val="006D6910"/>
    <w:rsid w:val="0070566A"/>
    <w:rsid w:val="00712143"/>
    <w:rsid w:val="00717141"/>
    <w:rsid w:val="007270BF"/>
    <w:rsid w:val="00734A21"/>
    <w:rsid w:val="00741CA4"/>
    <w:rsid w:val="00756A09"/>
    <w:rsid w:val="00760FF4"/>
    <w:rsid w:val="00774A22"/>
    <w:rsid w:val="007769BE"/>
    <w:rsid w:val="0078195A"/>
    <w:rsid w:val="00796138"/>
    <w:rsid w:val="007B2765"/>
    <w:rsid w:val="007B4CEC"/>
    <w:rsid w:val="007C3E31"/>
    <w:rsid w:val="007C6FE8"/>
    <w:rsid w:val="007D4C65"/>
    <w:rsid w:val="007D73CC"/>
    <w:rsid w:val="008315E5"/>
    <w:rsid w:val="00845E18"/>
    <w:rsid w:val="00852415"/>
    <w:rsid w:val="008716C7"/>
    <w:rsid w:val="008976BD"/>
    <w:rsid w:val="008A4EE9"/>
    <w:rsid w:val="008C766C"/>
    <w:rsid w:val="00901747"/>
    <w:rsid w:val="00906017"/>
    <w:rsid w:val="00907A46"/>
    <w:rsid w:val="009132DF"/>
    <w:rsid w:val="009376D4"/>
    <w:rsid w:val="00954B9E"/>
    <w:rsid w:val="0097451D"/>
    <w:rsid w:val="00985D00"/>
    <w:rsid w:val="009901C8"/>
    <w:rsid w:val="00990F4C"/>
    <w:rsid w:val="0099755A"/>
    <w:rsid w:val="009C023E"/>
    <w:rsid w:val="009C079F"/>
    <w:rsid w:val="009C0CEF"/>
    <w:rsid w:val="009C26AF"/>
    <w:rsid w:val="00A02171"/>
    <w:rsid w:val="00A02843"/>
    <w:rsid w:val="00A263F5"/>
    <w:rsid w:val="00A41B1B"/>
    <w:rsid w:val="00A62EE0"/>
    <w:rsid w:val="00A64171"/>
    <w:rsid w:val="00A74C2D"/>
    <w:rsid w:val="00AA1DB0"/>
    <w:rsid w:val="00AC2DD2"/>
    <w:rsid w:val="00AC75B4"/>
    <w:rsid w:val="00AE7DDE"/>
    <w:rsid w:val="00B05D36"/>
    <w:rsid w:val="00B068B5"/>
    <w:rsid w:val="00B128DF"/>
    <w:rsid w:val="00B13267"/>
    <w:rsid w:val="00B23E8D"/>
    <w:rsid w:val="00B41AE9"/>
    <w:rsid w:val="00B76D79"/>
    <w:rsid w:val="00B9063F"/>
    <w:rsid w:val="00BD1703"/>
    <w:rsid w:val="00BD1F0D"/>
    <w:rsid w:val="00BD6C5C"/>
    <w:rsid w:val="00BE24D7"/>
    <w:rsid w:val="00BE70B3"/>
    <w:rsid w:val="00BF3DB3"/>
    <w:rsid w:val="00BF69ED"/>
    <w:rsid w:val="00C23F53"/>
    <w:rsid w:val="00C2710F"/>
    <w:rsid w:val="00C3267A"/>
    <w:rsid w:val="00C654DD"/>
    <w:rsid w:val="00C952FC"/>
    <w:rsid w:val="00CB6DFA"/>
    <w:rsid w:val="00CD0533"/>
    <w:rsid w:val="00CE6C2E"/>
    <w:rsid w:val="00CF4ED2"/>
    <w:rsid w:val="00D44E52"/>
    <w:rsid w:val="00DA4FA2"/>
    <w:rsid w:val="00DA5C9F"/>
    <w:rsid w:val="00DA793A"/>
    <w:rsid w:val="00DE40AB"/>
    <w:rsid w:val="00DF7FFC"/>
    <w:rsid w:val="00E05797"/>
    <w:rsid w:val="00E423A2"/>
    <w:rsid w:val="00E47B5B"/>
    <w:rsid w:val="00E76DC6"/>
    <w:rsid w:val="00EA2BE0"/>
    <w:rsid w:val="00EA3976"/>
    <w:rsid w:val="00EC60F0"/>
    <w:rsid w:val="00ED0DD8"/>
    <w:rsid w:val="00ED590C"/>
    <w:rsid w:val="00EF6B94"/>
    <w:rsid w:val="00F135BF"/>
    <w:rsid w:val="00F301CD"/>
    <w:rsid w:val="00F34105"/>
    <w:rsid w:val="00F64412"/>
    <w:rsid w:val="00F8068C"/>
    <w:rsid w:val="00F93FA4"/>
    <w:rsid w:val="00F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2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B60"/>
    <w:rPr>
      <w:rFonts w:ascii="Times New Roman" w:eastAsia="Times New Roman" w:hAnsi="Times New Roman" w:cs="Times New Roman"/>
    </w:rPr>
  </w:style>
  <w:style w:type="paragraph" w:styleId="Heading2">
    <w:name w:val="heading 2"/>
    <w:basedOn w:val="Standard"/>
    <w:link w:val="Heading2Char"/>
    <w:rsid w:val="00320B60"/>
    <w:pPr>
      <w:keepNext/>
      <w:keepLines/>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B60"/>
    <w:pPr>
      <w:spacing w:before="100" w:beforeAutospacing="1" w:after="100" w:afterAutospacing="1"/>
    </w:pPr>
    <w:rPr>
      <w:rFonts w:eastAsiaTheme="minorHAnsi"/>
    </w:rPr>
  </w:style>
  <w:style w:type="character" w:styleId="Strong">
    <w:name w:val="Strong"/>
    <w:basedOn w:val="DefaultParagraphFont"/>
    <w:uiPriority w:val="22"/>
    <w:qFormat/>
    <w:rsid w:val="00320B60"/>
    <w:rPr>
      <w:b/>
      <w:bCs/>
    </w:rPr>
  </w:style>
  <w:style w:type="character" w:customStyle="1" w:styleId="Heading2Char">
    <w:name w:val="Heading 2 Char"/>
    <w:basedOn w:val="DefaultParagraphFont"/>
    <w:link w:val="Heading2"/>
    <w:rsid w:val="00320B60"/>
    <w:rPr>
      <w:rFonts w:ascii="Arial" w:eastAsia="Arial" w:hAnsi="Arial" w:cs="Arial"/>
      <w:b/>
      <w:bCs/>
      <w:i/>
      <w:iCs/>
      <w:color w:val="000000"/>
      <w:kern w:val="3"/>
      <w:sz w:val="28"/>
      <w:szCs w:val="28"/>
      <w:lang w:eastAsia="ja-JP"/>
    </w:rPr>
  </w:style>
  <w:style w:type="paragraph" w:customStyle="1" w:styleId="Standard">
    <w:name w:val="Standard"/>
    <w:rsid w:val="00320B60"/>
    <w:pPr>
      <w:suppressAutoHyphens/>
      <w:overflowPunct w:val="0"/>
      <w:autoSpaceDE w:val="0"/>
      <w:autoSpaceDN w:val="0"/>
      <w:textAlignment w:val="baseline"/>
    </w:pPr>
    <w:rPr>
      <w:rFonts w:ascii="Times New Roman" w:eastAsia="Times New Roman" w:hAnsi="Times New Roman" w:cs="Times New Roman"/>
      <w:color w:val="000000"/>
      <w:kern w:val="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4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agoberht@hotmail.com" TargetMode="External"/><Relationship Id="rId6" Type="http://schemas.openxmlformats.org/officeDocument/2006/relationships/hyperlink" Target="mailto:dagoberht@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2899</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MANCENT  </vt:lpstr>
      <vt:lpstr>The Manchester Continuing Education Network</vt:lpstr>
      <vt:lpstr>Course Director:  Dr. Birgitta Hoffmann, MA, FSA</vt:lpstr>
      <vt:lpstr>    Friday, 26 January 2018:</vt:lpstr>
      <vt:lpstr>    How to make a late Roman people – the origins of the Goths, Franks and Alamanni.</vt:lpstr>
    </vt:vector>
  </TitlesOfParts>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Birgitta Hoffmann</dc:creator>
  <cp:keywords/>
  <dc:description/>
  <cp:lastModifiedBy>Dr. Birgitta Hoffmann</cp:lastModifiedBy>
  <cp:revision>3</cp:revision>
  <dcterms:created xsi:type="dcterms:W3CDTF">2018-01-06T13:17:00Z</dcterms:created>
  <dcterms:modified xsi:type="dcterms:W3CDTF">2018-01-06T16:08:00Z</dcterms:modified>
</cp:coreProperties>
</file>